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F2" w:rsidRDefault="00C05BF2" w:rsidP="00C05BF2">
      <w:pPr>
        <w:pStyle w:val="Titolo5"/>
      </w:pPr>
      <w:r>
        <w:t xml:space="preserve">Sanzioni </w:t>
      </w:r>
    </w:p>
    <w:p w:rsidR="00C05BF2" w:rsidRDefault="00630283" w:rsidP="00630283">
      <w:pPr>
        <w:pStyle w:val="Titolo6"/>
        <w:numPr>
          <w:ilvl w:val="1"/>
          <w:numId w:val="4"/>
        </w:numPr>
        <w:tabs>
          <w:tab w:val="clear" w:pos="567"/>
        </w:tabs>
        <w:ind w:left="0" w:firstLine="0"/>
      </w:pPr>
      <w:r>
        <w:t xml:space="preserve">Sanzioni </w:t>
      </w:r>
      <w:r w:rsidR="00601307">
        <w:t>paesaggistiche</w:t>
      </w:r>
      <w:bookmarkStart w:id="0" w:name="_GoBack"/>
      <w:bookmarkEnd w:id="0"/>
    </w:p>
    <w:p w:rsidR="00C05BF2" w:rsidRDefault="00C05BF2" w:rsidP="00C05BF2"/>
    <w:p w:rsidR="00C05BF2" w:rsidRPr="00967DB3" w:rsidRDefault="00C05BF2" w:rsidP="00C05BF2">
      <w:pPr>
        <w:rPr>
          <w:b/>
        </w:rPr>
      </w:pPr>
      <w:r w:rsidRPr="00967DB3">
        <w:rPr>
          <w:b/>
        </w:rPr>
        <w:t xml:space="preserve">Determinazione della sanzione pecuniaria prevista all’art. 167 comma 5 del d.lgs. n. 42/2004 e </w:t>
      </w:r>
      <w:proofErr w:type="spellStart"/>
      <w:r w:rsidRPr="00967DB3">
        <w:rPr>
          <w:b/>
        </w:rPr>
        <w:t>s.m.i.</w:t>
      </w:r>
      <w:proofErr w:type="spellEnd"/>
    </w:p>
    <w:p w:rsidR="00C05BF2" w:rsidRDefault="00C05BF2" w:rsidP="00C05BF2"/>
    <w:p w:rsidR="00C05BF2" w:rsidRDefault="00C05BF2" w:rsidP="00C05BF2">
      <w:r>
        <w:t xml:space="preserve">In caso di violazione degli obblighi e degli ordini previsti dal Titolo I della Parte terza DEL </w:t>
      </w:r>
      <w:proofErr w:type="spellStart"/>
      <w:r>
        <w:t>d.Lgs.</w:t>
      </w:r>
      <w:proofErr w:type="spellEnd"/>
      <w:r>
        <w:t xml:space="preserve"> n. 42/2004  e ss.mm. ed ii.,  il trasgressore è tenuto alla rimessione in pristino a proprie spese, fatta salva la possibilità di richiedere l’accertamento della compatibilità paesaggistica egli interventi realizzati, ai sensi dell’art. 167 comma 4  del medesimo </w:t>
      </w:r>
      <w:proofErr w:type="spellStart"/>
      <w:r>
        <w:t>D.Lgs.</w:t>
      </w:r>
      <w:proofErr w:type="spellEnd"/>
    </w:p>
    <w:p w:rsidR="00C05BF2" w:rsidRDefault="00C05BF2" w:rsidP="00C05BF2">
      <w:r>
        <w:t>In tale fattispecie il proprietario, possessore o detentore a qualsiasi titolo dell'immobile o dell'area interessati dagli interventi abusivi presenta apposita domanda all'autorità prep</w:t>
      </w:r>
      <w:r>
        <w:t>o</w:t>
      </w:r>
      <w:r>
        <w:t>sta alla gestione del vincolo ai fini dell'accertamento della compatibilità paesaggistica d</w:t>
      </w:r>
      <w:r>
        <w:t>e</w:t>
      </w:r>
      <w:r>
        <w:t>gli interventi medesimi. L'autorità competente si pronuncia sulla domanda entro il term</w:t>
      </w:r>
      <w:r>
        <w:t>i</w:t>
      </w:r>
      <w:r>
        <w:t>ne perentorio di centottanta giorni, previo parere vincolante della soprintendenza da re</w:t>
      </w:r>
      <w:r>
        <w:t>n</w:t>
      </w:r>
      <w:r>
        <w:t xml:space="preserve">dersi entro il termine perentorio di novanta giorni. </w:t>
      </w:r>
    </w:p>
    <w:p w:rsidR="00C05BF2" w:rsidRDefault="00C05BF2" w:rsidP="00C05BF2">
      <w:r>
        <w:t xml:space="preserve">L’ammissibilità ad attivare la procedura di accertamento della compatibilità paesaggistica è prevista nei seguenti casi: </w:t>
      </w:r>
    </w:p>
    <w:p w:rsidR="00C05BF2" w:rsidRDefault="00C05BF2" w:rsidP="00C05BF2">
      <w:pPr>
        <w:pStyle w:val="Paragrafoelenco"/>
        <w:numPr>
          <w:ilvl w:val="0"/>
          <w:numId w:val="3"/>
        </w:numPr>
        <w:contextualSpacing w:val="0"/>
      </w:pPr>
      <w:r>
        <w:t xml:space="preserve">per i lavori, realizzati in assenza o difformità dall'autorizzazione paesaggistica, che non abbiano determinato creazione di superfici utili o volumi ovvero aumento di quelli legittimamente realizzati; </w:t>
      </w:r>
    </w:p>
    <w:p w:rsidR="00C05BF2" w:rsidRDefault="00C05BF2" w:rsidP="00C05BF2">
      <w:pPr>
        <w:pStyle w:val="Paragrafoelenco"/>
        <w:numPr>
          <w:ilvl w:val="0"/>
          <w:numId w:val="3"/>
        </w:numPr>
        <w:contextualSpacing w:val="0"/>
      </w:pPr>
      <w:r>
        <w:t>per l'impiego di materiali in difformità dall'autorizzazione paesaggistica;</w:t>
      </w:r>
    </w:p>
    <w:p w:rsidR="00C05BF2" w:rsidRDefault="00C05BF2" w:rsidP="00C05BF2">
      <w:pPr>
        <w:pStyle w:val="Paragrafoelenco"/>
        <w:numPr>
          <w:ilvl w:val="0"/>
          <w:numId w:val="3"/>
        </w:numPr>
        <w:contextualSpacing w:val="0"/>
      </w:pPr>
      <w:r>
        <w:t xml:space="preserve">per i lavori comunque configurabili quali interventi di manutenzione ordinaria o straordinaria ai sensi dell'articolo 3 del </w:t>
      </w:r>
      <w:hyperlink r:id="rId6" w:history="1">
        <w:r w:rsidRPr="00B04C12">
          <w:rPr>
            <w:rStyle w:val="Collegamentoipertestuale"/>
          </w:rPr>
          <w:t>D.P.R. 6 giugno 2001, n. 380</w:t>
        </w:r>
      </w:hyperlink>
      <w:r>
        <w:t xml:space="preserve">. </w:t>
      </w:r>
    </w:p>
    <w:p w:rsidR="00C05BF2" w:rsidRDefault="00C05BF2" w:rsidP="00C05BF2">
      <w:r>
        <w:t>Per le definizioni dei termini “lavori”, “superfici utili” e “volumi” si fa riferimento alla Circolare n. 33 emessa dal Segretario Generale del Ministero per i beni e le attività cultur</w:t>
      </w:r>
      <w:r>
        <w:t>a</w:t>
      </w:r>
      <w:r>
        <w:t xml:space="preserve">li in data 29.06.2009 </w:t>
      </w:r>
      <w:proofErr w:type="spellStart"/>
      <w:r>
        <w:t>prot</w:t>
      </w:r>
      <w:proofErr w:type="spellEnd"/>
      <w:r>
        <w:t>. n. 6074.</w:t>
      </w:r>
    </w:p>
    <w:p w:rsidR="00C05BF2" w:rsidRDefault="00C05BF2" w:rsidP="00C05BF2">
      <w:r>
        <w:t>Qualora venga accertata la compatibilità paesaggistica, il trasgressore è tenuto al pag</w:t>
      </w:r>
      <w:r>
        <w:t>a</w:t>
      </w:r>
      <w:r>
        <w:t>mento di una somma equivalente al maggiore importo tra il danno arrecato e il profitto conseguito mediante la trasgressione, da determinarsi attraverso apposita perizia di st</w:t>
      </w:r>
      <w:r>
        <w:t>i</w:t>
      </w:r>
      <w:r>
        <w:t>ma.</w:t>
      </w:r>
    </w:p>
    <w:p w:rsidR="00C05BF2" w:rsidRDefault="00C05BF2" w:rsidP="00C05BF2">
      <w:r>
        <w:t>I comuni si trovano però nella necessità di superare valutazioni puntuali, disciplinando la determinazione della sanzione pecuniaria mediante appositi criteri che diano certezza ai rapporti cittadini/comuni e, per quanto possibile,  consentano di determinare la somma mediante meccanismi automatici ed oggettivi, omogenei per tutto il territorio casentinese, che evitino il ricorso a complesse procedure tecnico-amministrative di tipo discrezionale caso per caso e/o comune per comune.</w:t>
      </w:r>
    </w:p>
    <w:p w:rsidR="00C05BF2" w:rsidRDefault="00C05BF2" w:rsidP="00C05BF2">
      <w:r>
        <w:lastRenderedPageBreak/>
        <w:t>E’ stata quindi predisposta una griglia di possibilità, derivante direttamente dalle casist</w:t>
      </w:r>
      <w:r>
        <w:t>i</w:t>
      </w:r>
      <w:r>
        <w:t>che di compatibilità paesaggistica contemplate dalla lettura combinata dell’art. 167 comma 4 del Codice e della citata Circolare ministeriale n. 33/2009, come di seguito riportato:</w:t>
      </w:r>
    </w:p>
    <w:p w:rsidR="00C05BF2" w:rsidRDefault="00C05BF2" w:rsidP="00C05BF2"/>
    <w:tbl>
      <w:tblPr>
        <w:tblStyle w:val="Sfondochiaro-Colore1"/>
        <w:tblW w:w="5000" w:type="pct"/>
        <w:tblLook w:val="04A0" w:firstRow="1" w:lastRow="0" w:firstColumn="1" w:lastColumn="0" w:noHBand="0" w:noVBand="1"/>
      </w:tblPr>
      <w:tblGrid>
        <w:gridCol w:w="416"/>
        <w:gridCol w:w="6157"/>
        <w:gridCol w:w="1094"/>
        <w:gridCol w:w="937"/>
        <w:gridCol w:w="1250"/>
      </w:tblGrid>
      <w:tr w:rsidR="00C05BF2" w:rsidRPr="005209F6" w:rsidTr="00F63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n.</w:t>
            </w:r>
          </w:p>
        </w:tc>
        <w:tc>
          <w:tcPr>
            <w:tcW w:w="3443" w:type="pct"/>
            <w:hideMark/>
          </w:tcPr>
          <w:p w:rsidR="00C05BF2" w:rsidRDefault="00C05BF2" w:rsidP="00F63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it-IT" w:bidi="ar-SA"/>
              </w:rPr>
            </w:pPr>
            <w:r w:rsidRPr="005209F6">
              <w:rPr>
                <w:lang w:val="en-US" w:eastAsia="it-IT" w:bidi="ar-SA"/>
              </w:rPr>
              <w:t xml:space="preserve">CASI </w:t>
            </w:r>
          </w:p>
          <w:p w:rsidR="00C05BF2" w:rsidRPr="005209F6" w:rsidRDefault="00C05BF2" w:rsidP="00F63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it-IT" w:bidi="ar-SA"/>
              </w:rPr>
            </w:pPr>
            <w:r w:rsidRPr="005209F6">
              <w:rPr>
                <w:lang w:val="en-US" w:eastAsia="it-IT" w:bidi="ar-SA"/>
              </w:rPr>
              <w:t>ART. 167 C. 4 D.LGS. N. 42/2004</w:t>
            </w:r>
          </w:p>
        </w:tc>
        <w:tc>
          <w:tcPr>
            <w:tcW w:w="452" w:type="pct"/>
            <w:hideMark/>
          </w:tcPr>
          <w:p w:rsidR="00C05BF2" w:rsidRPr="005209F6" w:rsidRDefault="00C05BF2" w:rsidP="00F63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val="en-US" w:eastAsia="it-IT" w:bidi="ar-SA"/>
              </w:rPr>
              <w:t>SANZ. MINIMA (€)</w:t>
            </w:r>
          </w:p>
        </w:tc>
        <w:tc>
          <w:tcPr>
            <w:tcW w:w="403" w:type="pct"/>
            <w:hideMark/>
          </w:tcPr>
          <w:p w:rsidR="00C05BF2" w:rsidRPr="005209F6" w:rsidRDefault="00C05BF2" w:rsidP="00F63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val="en-US" w:eastAsia="it-IT" w:bidi="ar-SA"/>
              </w:rPr>
              <w:t>SANZ. MEDIA (€)</w:t>
            </w:r>
          </w:p>
        </w:tc>
        <w:tc>
          <w:tcPr>
            <w:tcW w:w="592" w:type="pct"/>
            <w:hideMark/>
          </w:tcPr>
          <w:p w:rsidR="00C05BF2" w:rsidRPr="005209F6" w:rsidRDefault="00C05BF2" w:rsidP="00F63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SANZ. MASSIMA (€)</w:t>
            </w:r>
          </w:p>
        </w:tc>
      </w:tr>
      <w:tr w:rsidR="00C05BF2" w:rsidRPr="005209F6" w:rsidTr="00F6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val="en-US" w:eastAsia="it-IT" w:bidi="ar-SA"/>
              </w:rPr>
              <w:t>a</w:t>
            </w:r>
          </w:p>
        </w:tc>
        <w:tc>
          <w:tcPr>
            <w:tcW w:w="4890" w:type="pct"/>
            <w:gridSpan w:val="4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Per i lavori, realizzati in assenza o difformità dall'autorizzazione paesaggistica, che non abbiano determinato creazione di superfici utili o volumi ovvero aumento di quelli legittimamente:</w:t>
            </w:r>
          </w:p>
        </w:tc>
      </w:tr>
      <w:tr w:rsidR="00C05BF2" w:rsidRPr="005209F6" w:rsidTr="00F637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vMerge w:val="restar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val="en-US" w:eastAsia="it-IT" w:bidi="ar-SA"/>
              </w:rPr>
              <w:t>a1</w:t>
            </w:r>
          </w:p>
        </w:tc>
        <w:tc>
          <w:tcPr>
            <w:tcW w:w="3443" w:type="pct"/>
            <w:vMerge w:val="restar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Realizzazione di logge e balconi e/o portici rie</w:t>
            </w:r>
            <w:r w:rsidRPr="005209F6">
              <w:rPr>
                <w:lang w:eastAsia="it-IT" w:bidi="ar-SA"/>
              </w:rPr>
              <w:t>n</w:t>
            </w:r>
            <w:r w:rsidRPr="005209F6">
              <w:rPr>
                <w:lang w:eastAsia="it-IT" w:bidi="ar-SA"/>
              </w:rPr>
              <w:t>tranti nella casistica di cui al punto 2. della Circ</w:t>
            </w:r>
            <w:r w:rsidRPr="005209F6">
              <w:rPr>
                <w:lang w:eastAsia="it-IT" w:bidi="ar-SA"/>
              </w:rPr>
              <w:t>o</w:t>
            </w:r>
            <w:r w:rsidRPr="005209F6">
              <w:rPr>
                <w:lang w:eastAsia="it-IT" w:bidi="ar-SA"/>
              </w:rPr>
              <w:t>lare MIBAC n. 33/2009.</w:t>
            </w:r>
          </w:p>
        </w:tc>
        <w:tc>
          <w:tcPr>
            <w:tcW w:w="452" w:type="pct"/>
            <w:vMerge w:val="restar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1.000</w:t>
            </w:r>
          </w:p>
        </w:tc>
        <w:tc>
          <w:tcPr>
            <w:tcW w:w="403" w:type="pct"/>
            <w:vMerge w:val="restar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1.750</w:t>
            </w:r>
          </w:p>
        </w:tc>
        <w:tc>
          <w:tcPr>
            <w:tcW w:w="592" w:type="pct"/>
            <w:vMerge w:val="restar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2.500</w:t>
            </w:r>
          </w:p>
        </w:tc>
      </w:tr>
      <w:tr w:rsidR="00C05BF2" w:rsidRPr="005209F6" w:rsidTr="00F6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vMerge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</w:p>
        </w:tc>
        <w:tc>
          <w:tcPr>
            <w:tcW w:w="3443" w:type="pct"/>
            <w:vMerge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</w:p>
        </w:tc>
        <w:tc>
          <w:tcPr>
            <w:tcW w:w="452" w:type="pct"/>
            <w:vMerge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</w:p>
        </w:tc>
        <w:tc>
          <w:tcPr>
            <w:tcW w:w="403" w:type="pct"/>
            <w:vMerge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</w:p>
        </w:tc>
        <w:tc>
          <w:tcPr>
            <w:tcW w:w="592" w:type="pct"/>
            <w:vMerge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</w:p>
        </w:tc>
      </w:tr>
      <w:tr w:rsidR="00C05BF2" w:rsidRPr="005209F6" w:rsidTr="00F6378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a2</w:t>
            </w:r>
          </w:p>
        </w:tc>
        <w:tc>
          <w:tcPr>
            <w:tcW w:w="3443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Realizzazione di volumi tecnici rientranti nella casistica di cui al punto 3. della Circolare MIBAC n. 33/2009.</w:t>
            </w:r>
          </w:p>
        </w:tc>
        <w:tc>
          <w:tcPr>
            <w:tcW w:w="452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1.000</w:t>
            </w:r>
          </w:p>
        </w:tc>
        <w:tc>
          <w:tcPr>
            <w:tcW w:w="403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1.750</w:t>
            </w:r>
          </w:p>
        </w:tc>
        <w:tc>
          <w:tcPr>
            <w:tcW w:w="592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2.500</w:t>
            </w:r>
          </w:p>
        </w:tc>
      </w:tr>
      <w:tr w:rsidR="00C05BF2" w:rsidRPr="005209F6" w:rsidTr="00F6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a3</w:t>
            </w:r>
          </w:p>
        </w:tc>
        <w:tc>
          <w:tcPr>
            <w:tcW w:w="3443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Opere comportanti  variazioni alla sagoma del fabbricato.</w:t>
            </w:r>
          </w:p>
        </w:tc>
        <w:tc>
          <w:tcPr>
            <w:tcW w:w="452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750</w:t>
            </w:r>
          </w:p>
        </w:tc>
        <w:tc>
          <w:tcPr>
            <w:tcW w:w="403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1.250</w:t>
            </w:r>
          </w:p>
        </w:tc>
        <w:tc>
          <w:tcPr>
            <w:tcW w:w="592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2.000</w:t>
            </w:r>
          </w:p>
        </w:tc>
      </w:tr>
      <w:tr w:rsidR="00C05BF2" w:rsidRPr="005209F6" w:rsidTr="00F637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a4</w:t>
            </w:r>
          </w:p>
        </w:tc>
        <w:tc>
          <w:tcPr>
            <w:tcW w:w="3443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Opere comportanti  variazioni ai prospetti del fabbricato.</w:t>
            </w:r>
          </w:p>
        </w:tc>
        <w:tc>
          <w:tcPr>
            <w:tcW w:w="452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500</w:t>
            </w:r>
          </w:p>
        </w:tc>
        <w:tc>
          <w:tcPr>
            <w:tcW w:w="403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1.000</w:t>
            </w:r>
          </w:p>
        </w:tc>
        <w:tc>
          <w:tcPr>
            <w:tcW w:w="592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1.500</w:t>
            </w:r>
          </w:p>
        </w:tc>
      </w:tr>
      <w:tr w:rsidR="00C05BF2" w:rsidRPr="005209F6" w:rsidTr="00F6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a5</w:t>
            </w:r>
          </w:p>
        </w:tc>
        <w:tc>
          <w:tcPr>
            <w:tcW w:w="3443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Opere comportanti  variazioni alle sistemazioni esterne del fabbricato (recinzioni, pavimentazi</w:t>
            </w:r>
            <w:r w:rsidRPr="005209F6">
              <w:rPr>
                <w:lang w:eastAsia="it-IT" w:bidi="ar-SA"/>
              </w:rPr>
              <w:t>o</w:t>
            </w:r>
            <w:r w:rsidRPr="005209F6">
              <w:rPr>
                <w:lang w:eastAsia="it-IT" w:bidi="ar-SA"/>
              </w:rPr>
              <w:t>ni, ecc.).</w:t>
            </w:r>
          </w:p>
        </w:tc>
        <w:tc>
          <w:tcPr>
            <w:tcW w:w="452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500</w:t>
            </w:r>
          </w:p>
        </w:tc>
        <w:tc>
          <w:tcPr>
            <w:tcW w:w="403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750</w:t>
            </w:r>
          </w:p>
        </w:tc>
        <w:tc>
          <w:tcPr>
            <w:tcW w:w="592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1.000</w:t>
            </w:r>
          </w:p>
        </w:tc>
      </w:tr>
      <w:tr w:rsidR="00C05BF2" w:rsidRPr="005209F6" w:rsidTr="00F637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a6</w:t>
            </w:r>
          </w:p>
        </w:tc>
        <w:tc>
          <w:tcPr>
            <w:tcW w:w="3443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 xml:space="preserve">Movimenti di terra connessi all’utilizzo di aree non rientranti nel caso c. </w:t>
            </w:r>
          </w:p>
        </w:tc>
        <w:tc>
          <w:tcPr>
            <w:tcW w:w="452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500</w:t>
            </w:r>
          </w:p>
        </w:tc>
        <w:tc>
          <w:tcPr>
            <w:tcW w:w="403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750</w:t>
            </w:r>
          </w:p>
        </w:tc>
        <w:tc>
          <w:tcPr>
            <w:tcW w:w="592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1.000</w:t>
            </w:r>
          </w:p>
        </w:tc>
      </w:tr>
      <w:tr w:rsidR="00C05BF2" w:rsidRPr="005209F6" w:rsidTr="00F6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a7</w:t>
            </w:r>
          </w:p>
        </w:tc>
        <w:tc>
          <w:tcPr>
            <w:tcW w:w="3443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Interventi connessi alla sistemazione di aree non rientranti nel caso a5 (recinzioni e pavimentazi</w:t>
            </w:r>
            <w:r w:rsidRPr="005209F6">
              <w:rPr>
                <w:lang w:eastAsia="it-IT" w:bidi="ar-SA"/>
              </w:rPr>
              <w:t>o</w:t>
            </w:r>
            <w:r w:rsidRPr="005209F6">
              <w:rPr>
                <w:lang w:eastAsia="it-IT" w:bidi="ar-SA"/>
              </w:rPr>
              <w:t>ni di aree non configurabili come resede di fa</w:t>
            </w:r>
            <w:r w:rsidRPr="005209F6">
              <w:rPr>
                <w:lang w:eastAsia="it-IT" w:bidi="ar-SA"/>
              </w:rPr>
              <w:t>b</w:t>
            </w:r>
            <w:r w:rsidRPr="005209F6">
              <w:rPr>
                <w:lang w:eastAsia="it-IT" w:bidi="ar-SA"/>
              </w:rPr>
              <w:t>bricati).</w:t>
            </w:r>
          </w:p>
        </w:tc>
        <w:tc>
          <w:tcPr>
            <w:tcW w:w="452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500</w:t>
            </w:r>
          </w:p>
        </w:tc>
        <w:tc>
          <w:tcPr>
            <w:tcW w:w="403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750</w:t>
            </w:r>
          </w:p>
        </w:tc>
        <w:tc>
          <w:tcPr>
            <w:tcW w:w="592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1.000</w:t>
            </w:r>
          </w:p>
        </w:tc>
      </w:tr>
      <w:tr w:rsidR="00C05BF2" w:rsidRPr="005209F6" w:rsidTr="00F637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a8</w:t>
            </w:r>
          </w:p>
        </w:tc>
        <w:tc>
          <w:tcPr>
            <w:tcW w:w="3443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 xml:space="preserve">Taglio di piante d’alto fusto non compreso nella casistica dell’art. 149 del </w:t>
            </w:r>
            <w:proofErr w:type="spellStart"/>
            <w:r w:rsidRPr="005209F6">
              <w:rPr>
                <w:lang w:eastAsia="it-IT" w:bidi="ar-SA"/>
              </w:rPr>
              <w:t>D.lgs</w:t>
            </w:r>
            <w:proofErr w:type="spellEnd"/>
            <w:r w:rsidRPr="005209F6">
              <w:rPr>
                <w:lang w:eastAsia="it-IT" w:bidi="ar-SA"/>
              </w:rPr>
              <w:t xml:space="preserve"> n.42/2004.</w:t>
            </w:r>
          </w:p>
        </w:tc>
        <w:tc>
          <w:tcPr>
            <w:tcW w:w="452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500</w:t>
            </w:r>
          </w:p>
        </w:tc>
        <w:tc>
          <w:tcPr>
            <w:tcW w:w="403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750</w:t>
            </w:r>
          </w:p>
        </w:tc>
        <w:tc>
          <w:tcPr>
            <w:tcW w:w="592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1.000</w:t>
            </w:r>
          </w:p>
        </w:tc>
      </w:tr>
      <w:tr w:rsidR="00C05BF2" w:rsidRPr="005209F6" w:rsidTr="00F6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b</w:t>
            </w:r>
          </w:p>
        </w:tc>
        <w:tc>
          <w:tcPr>
            <w:tcW w:w="3443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per l'impiego di materiali in difformità dall'aut</w:t>
            </w:r>
            <w:r w:rsidRPr="005209F6">
              <w:rPr>
                <w:lang w:eastAsia="it-IT" w:bidi="ar-SA"/>
              </w:rPr>
              <w:t>o</w:t>
            </w:r>
            <w:r w:rsidRPr="005209F6">
              <w:rPr>
                <w:lang w:eastAsia="it-IT" w:bidi="ar-SA"/>
              </w:rPr>
              <w:t>rizzazione paesaggistica.</w:t>
            </w:r>
          </w:p>
        </w:tc>
        <w:tc>
          <w:tcPr>
            <w:tcW w:w="452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500</w:t>
            </w:r>
          </w:p>
        </w:tc>
        <w:tc>
          <w:tcPr>
            <w:tcW w:w="403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750</w:t>
            </w:r>
          </w:p>
        </w:tc>
        <w:tc>
          <w:tcPr>
            <w:tcW w:w="592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1.000</w:t>
            </w:r>
          </w:p>
        </w:tc>
      </w:tr>
      <w:tr w:rsidR="00C05BF2" w:rsidRPr="005209F6" w:rsidTr="00F6378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c</w:t>
            </w:r>
          </w:p>
        </w:tc>
        <w:tc>
          <w:tcPr>
            <w:tcW w:w="3443" w:type="pct"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per i lavori comunque configurabili quali inte</w:t>
            </w:r>
            <w:r w:rsidRPr="005209F6">
              <w:rPr>
                <w:lang w:eastAsia="it-IT" w:bidi="ar-SA"/>
              </w:rPr>
              <w:t>r</w:t>
            </w:r>
            <w:r w:rsidRPr="005209F6">
              <w:rPr>
                <w:lang w:eastAsia="it-IT" w:bidi="ar-SA"/>
              </w:rPr>
              <w:t>venti di manutenzione ordinaria o straordinaria ai sensi dell'articolo 3 del D.P.R. 6 giugno 2001  n.  380.</w:t>
            </w:r>
          </w:p>
        </w:tc>
        <w:tc>
          <w:tcPr>
            <w:tcW w:w="452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500</w:t>
            </w:r>
          </w:p>
        </w:tc>
        <w:tc>
          <w:tcPr>
            <w:tcW w:w="403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750</w:t>
            </w:r>
          </w:p>
        </w:tc>
        <w:tc>
          <w:tcPr>
            <w:tcW w:w="592" w:type="pct"/>
            <w:hideMark/>
          </w:tcPr>
          <w:p w:rsidR="00C05BF2" w:rsidRPr="005209F6" w:rsidRDefault="00C05BF2" w:rsidP="00F63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1.000</w:t>
            </w:r>
          </w:p>
        </w:tc>
      </w:tr>
      <w:tr w:rsidR="00C05BF2" w:rsidRPr="005209F6" w:rsidTr="00F6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" w:type="pct"/>
            <w:hideMark/>
          </w:tcPr>
          <w:p w:rsidR="00C05BF2" w:rsidRPr="005209F6" w:rsidRDefault="00C05BF2" w:rsidP="00F63788">
            <w:pPr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d</w:t>
            </w:r>
          </w:p>
        </w:tc>
        <w:tc>
          <w:tcPr>
            <w:tcW w:w="3443" w:type="pct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Ogni altro intervento strettamente connesso all’utilizzazione di altri immobili ed aree non comportante modificazioni delle caratteristiche peculiari del paesaggio, non contemplato nei casi precedenti.</w:t>
            </w:r>
          </w:p>
        </w:tc>
        <w:tc>
          <w:tcPr>
            <w:tcW w:w="1447" w:type="pct"/>
            <w:gridSpan w:val="3"/>
            <w:hideMark/>
          </w:tcPr>
          <w:p w:rsidR="00C05BF2" w:rsidRPr="005209F6" w:rsidRDefault="00C05BF2" w:rsidP="00F63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 w:bidi="ar-SA"/>
              </w:rPr>
            </w:pPr>
            <w:r w:rsidRPr="005209F6">
              <w:rPr>
                <w:lang w:eastAsia="it-IT" w:bidi="ar-SA"/>
              </w:rPr>
              <w:t>Da € 500 ad € 5.000 in funzione della tipologia, dimensioni e c</w:t>
            </w:r>
            <w:r w:rsidRPr="005209F6">
              <w:rPr>
                <w:lang w:eastAsia="it-IT" w:bidi="ar-SA"/>
              </w:rPr>
              <w:t>a</w:t>
            </w:r>
            <w:r w:rsidRPr="005209F6">
              <w:rPr>
                <w:lang w:eastAsia="it-IT" w:bidi="ar-SA"/>
              </w:rPr>
              <w:t>ratteristiche costruttive  dell’intervento, da determinarsi caso per caso.</w:t>
            </w:r>
          </w:p>
        </w:tc>
      </w:tr>
    </w:tbl>
    <w:p w:rsidR="00C05BF2" w:rsidRDefault="00C05BF2" w:rsidP="00C05BF2"/>
    <w:p w:rsidR="00C05BF2" w:rsidRPr="0045200B" w:rsidRDefault="00C05BF2" w:rsidP="00C05BF2">
      <w:r w:rsidRPr="0045200B">
        <w:t xml:space="preserve">La determinazione della sanzione, contenuta nei limiti minimo e massimo previsti, sarà effettuata dalla struttura tecnica del servizio paesaggistico, supportato dalla Commissione per il Paesaggio di cui all’art. 14 comma 1 del </w:t>
      </w:r>
      <w:proofErr w:type="spellStart"/>
      <w:r w:rsidRPr="0045200B">
        <w:t>D.Lgs.</w:t>
      </w:r>
      <w:proofErr w:type="spellEnd"/>
      <w:r w:rsidRPr="0045200B">
        <w:t xml:space="preserve"> n. 42/2004 </w:t>
      </w:r>
      <w:r>
        <w:t xml:space="preserve"> </w:t>
      </w:r>
      <w:r w:rsidRPr="0045200B">
        <w:t>e dell’art. 153 della L.R. n. 65/2014</w:t>
      </w:r>
      <w:r>
        <w:t>.</w:t>
      </w:r>
    </w:p>
    <w:p w:rsidR="00C05BF2" w:rsidRDefault="00C05BF2" w:rsidP="00C05BF2">
      <w:r>
        <w:t>In caso di interventi che prevedano più casistiche, quando non siano funzionalmente co</w:t>
      </w:r>
      <w:r>
        <w:t>l</w:t>
      </w:r>
      <w:r>
        <w:t>legati, la sanzione è applicata come sommatoria delle sanzioni attribuibili ai singoli lav</w:t>
      </w:r>
      <w:r>
        <w:t>o</w:t>
      </w:r>
      <w:r>
        <w:t xml:space="preserve">ri/interventi abusivi realizzati. </w:t>
      </w:r>
    </w:p>
    <w:p w:rsidR="00C05BF2" w:rsidRDefault="00C05BF2" w:rsidP="00C05BF2">
      <w:r>
        <w:lastRenderedPageBreak/>
        <w:t xml:space="preserve">Le pratiche di condono edilizio pregresse presentate ai sensi della L. n. 47/85 e ss.mm. ed ii., Legge n. 724/94 e ss.mm. ed ii., nonché della L.R. n. 53/2004 e ss.mm. ed ii., ancora non perfezionate, prevedono tipologie di sanatoria più estese rispetto a quelle previste dall’attuale art. 167 del </w:t>
      </w:r>
      <w:proofErr w:type="spellStart"/>
      <w:r>
        <w:t>D.Lgs.</w:t>
      </w:r>
      <w:proofErr w:type="spellEnd"/>
      <w:r>
        <w:t xml:space="preserve"> n. 42/2004 e ss.mm. ed ii.</w:t>
      </w:r>
    </w:p>
    <w:p w:rsidR="00C05BF2" w:rsidRPr="003D0750" w:rsidRDefault="00C05BF2" w:rsidP="00C05BF2">
      <w:r w:rsidRPr="003D0750">
        <w:t>Pertanto, per tale fattispecie, sono mantenute le modalità di determinazione dell’indennità risarcitoria a suo tempo stabilita con le seguenti deliberazioni</w:t>
      </w:r>
      <w:r>
        <w:t xml:space="preserve">/atti dei </w:t>
      </w:r>
      <w:r w:rsidRPr="003D0750">
        <w:t>singoli comuni, rif</w:t>
      </w:r>
      <w:r w:rsidRPr="003D0750">
        <w:t>e</w:t>
      </w:r>
      <w:r w:rsidRPr="003D0750">
        <w:t xml:space="preserve">rite alle tipologie di sanatoria  (1, 2, 3, 4 ,5 ,6 e 7) dettate dalla Legge n. 47/85 e </w:t>
      </w:r>
      <w:proofErr w:type="spellStart"/>
      <w:r>
        <w:t>s.m.i</w:t>
      </w:r>
      <w:proofErr w:type="spellEnd"/>
      <w:r w:rsidRPr="003D0750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Comune di Bibbiena</w:t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proofErr w:type="spellStart"/>
            <w:r w:rsidRPr="005209F6">
              <w:t>Tit</w:t>
            </w:r>
            <w:proofErr w:type="spellEnd"/>
            <w:r w:rsidRPr="005209F6">
              <w:t xml:space="preserve">. 5 del R.E. (modificato con </w:t>
            </w:r>
            <w:r w:rsidRPr="005209F6">
              <w:rPr>
                <w:sz w:val="23"/>
                <w:szCs w:val="23"/>
              </w:rPr>
              <w:t>del. n. 23/CC del 23 del 22.04.2008)</w:t>
            </w:r>
          </w:p>
        </w:tc>
      </w:tr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Comune di Chitignano</w:t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del. n. 17/CC del 25.06.1998</w:t>
            </w:r>
          </w:p>
        </w:tc>
      </w:tr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Comune di Chiusi della Verna</w:t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del. n. 5/CC del 18.02.1998</w:t>
            </w:r>
          </w:p>
        </w:tc>
      </w:tr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Comune di Castel Focognano</w:t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del. n. 132/GC del 17.04.1998</w:t>
            </w:r>
          </w:p>
        </w:tc>
      </w:tr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Comune di Castel San Niccolò</w:t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del. n. 30/GC del 09.03.1998</w:t>
            </w:r>
          </w:p>
        </w:tc>
      </w:tr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Comune di Montemignaio</w:t>
            </w:r>
            <w:r w:rsidRPr="005209F6">
              <w:tab/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del. n. 18/GC del 18.02.1998</w:t>
            </w:r>
          </w:p>
        </w:tc>
      </w:tr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Comune di Ortignano Raggiolo</w:t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del. n. ___/GC del __________</w:t>
            </w:r>
          </w:p>
        </w:tc>
      </w:tr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Comune di Poppi</w:t>
            </w:r>
            <w:r w:rsidRPr="005209F6">
              <w:tab/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del. n. 84/GC del 30.06.1997</w:t>
            </w:r>
          </w:p>
        </w:tc>
      </w:tr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Comune di Pratovecchio Stia</w:t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 xml:space="preserve"> </w:t>
            </w:r>
          </w:p>
        </w:tc>
      </w:tr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ex Comune di Pratovecchio</w:t>
            </w:r>
            <w:r w:rsidRPr="005209F6">
              <w:tab/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del. n. 45/GC del 12.05.1998</w:t>
            </w:r>
          </w:p>
        </w:tc>
      </w:tr>
      <w:tr w:rsidR="00C05BF2" w:rsidRPr="005209F6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ex Comune di Stia</w:t>
            </w:r>
          </w:p>
        </w:tc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del. n. ___/GC del __________</w:t>
            </w:r>
          </w:p>
        </w:tc>
      </w:tr>
      <w:tr w:rsidR="00C05BF2" w:rsidRPr="003D0750" w:rsidTr="00F63788">
        <w:tc>
          <w:tcPr>
            <w:tcW w:w="4463" w:type="dxa"/>
          </w:tcPr>
          <w:p w:rsidR="00C05BF2" w:rsidRPr="005209F6" w:rsidRDefault="00C05BF2" w:rsidP="00F63788">
            <w:pPr>
              <w:tabs>
                <w:tab w:val="clear" w:pos="567"/>
              </w:tabs>
            </w:pPr>
            <w:r w:rsidRPr="005209F6">
              <w:t>Comune di Talla</w:t>
            </w:r>
          </w:p>
        </w:tc>
        <w:tc>
          <w:tcPr>
            <w:tcW w:w="4463" w:type="dxa"/>
          </w:tcPr>
          <w:p w:rsidR="00C05BF2" w:rsidRPr="003D0750" w:rsidRDefault="00C05BF2" w:rsidP="00F63788">
            <w:pPr>
              <w:tabs>
                <w:tab w:val="clear" w:pos="567"/>
              </w:tabs>
            </w:pPr>
            <w:r w:rsidRPr="005209F6">
              <w:t>del. n. 19/GC del 16.04.1998</w:t>
            </w:r>
          </w:p>
        </w:tc>
      </w:tr>
    </w:tbl>
    <w:p w:rsidR="00C05BF2" w:rsidRPr="003D0750" w:rsidRDefault="00C05BF2" w:rsidP="00C05BF2"/>
    <w:p w:rsidR="00C05BF2" w:rsidRDefault="00C05BF2" w:rsidP="00C05BF2">
      <w:pPr>
        <w:rPr>
          <w:rFonts w:ascii="Tahoma" w:hAnsi="Tahoma" w:cs="Tahoma"/>
          <w:sz w:val="20"/>
          <w:szCs w:val="20"/>
        </w:rPr>
      </w:pPr>
    </w:p>
    <w:p w:rsidR="00C05BF2" w:rsidRDefault="00C05BF2" w:rsidP="00C05BF2">
      <w:pPr>
        <w:rPr>
          <w:rFonts w:ascii="Tahoma" w:hAnsi="Tahoma" w:cs="Tahoma"/>
          <w:sz w:val="20"/>
          <w:szCs w:val="20"/>
        </w:rPr>
      </w:pPr>
    </w:p>
    <w:p w:rsidR="00C05BF2" w:rsidRDefault="00C05BF2" w:rsidP="00C05BF2"/>
    <w:p w:rsidR="00C05BF2" w:rsidRDefault="00C05BF2" w:rsidP="00C05BF2">
      <w:pPr>
        <w:tabs>
          <w:tab w:val="clear" w:pos="567"/>
        </w:tabs>
        <w:spacing w:line="240" w:lineRule="auto"/>
        <w:jc w:val="left"/>
        <w:rPr>
          <w:rFonts w:ascii="Cambria" w:eastAsia="Microsoft YaHei" w:hAnsi="Cambria" w:cs="Cambria"/>
          <w:b/>
          <w:bCs/>
        </w:rPr>
      </w:pPr>
      <w:bookmarkStart w:id="1" w:name="_Ref433619445"/>
      <w:r>
        <w:br w:type="page"/>
      </w:r>
    </w:p>
    <w:bookmarkEnd w:id="1"/>
    <w:p w:rsidR="006E2EEA" w:rsidRDefault="006E2EEA"/>
    <w:sectPr w:rsidR="006E2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46D7E"/>
    <w:multiLevelType w:val="hybridMultilevel"/>
    <w:tmpl w:val="7BF4C7D2"/>
    <w:lvl w:ilvl="0" w:tplc="F77CD538">
      <w:start w:val="1"/>
      <w:numFmt w:val="upperRoman"/>
      <w:pStyle w:val="Titolo2"/>
      <w:lvlText w:val="CAPO %1"/>
      <w:lvlJc w:val="left"/>
      <w:pPr>
        <w:ind w:left="360" w:hanging="360"/>
      </w:pPr>
      <w:rPr>
        <w:rFonts w:ascii="Palatino Linotype" w:hAnsi="Palatino Linotype" w:hint="default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3E91E2">
      <w:start w:val="1"/>
      <w:numFmt w:val="lowerLetter"/>
      <w:lvlText w:val="%2)"/>
      <w:lvlJc w:val="left"/>
      <w:pPr>
        <w:ind w:left="1007" w:hanging="570"/>
      </w:pPr>
      <w:rPr>
        <w:rFonts w:hint="default"/>
      </w:rPr>
    </w:lvl>
    <w:lvl w:ilvl="2" w:tplc="74D0F168">
      <w:start w:val="1"/>
      <w:numFmt w:val="lowerLetter"/>
      <w:lvlText w:val="%3."/>
      <w:lvlJc w:val="left"/>
      <w:pPr>
        <w:ind w:left="169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4EDE7387"/>
    <w:multiLevelType w:val="multilevel"/>
    <w:tmpl w:val="5AF86048"/>
    <w:lvl w:ilvl="0">
      <w:start w:val="3"/>
      <w:numFmt w:val="decimal"/>
      <w:pStyle w:val="Titolo5"/>
      <w:lvlText w:val="ALLEGATO %1"/>
      <w:lvlJc w:val="left"/>
      <w:pPr>
        <w:ind w:left="360" w:hanging="360"/>
      </w:pPr>
      <w:rPr>
        <w:rFonts w:ascii="Palatino Linotype" w:hAnsi="Palatino Linotype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pStyle w:val="Titolo6"/>
      <w:lvlText w:val="Allegato 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583B0CA8"/>
    <w:multiLevelType w:val="hybridMultilevel"/>
    <w:tmpl w:val="6DEC96CE"/>
    <w:lvl w:ilvl="0" w:tplc="6CD24866">
      <w:start w:val="8"/>
      <w:numFmt w:val="bullet"/>
      <w:lvlText w:val="•"/>
      <w:lvlJc w:val="left"/>
      <w:pPr>
        <w:ind w:left="360" w:hanging="360"/>
      </w:pPr>
      <w:rPr>
        <w:rFonts w:ascii="Palatino Linotype" w:eastAsia="SimSun" w:hAnsi="Palatino Linotype" w:cs="Mang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F2"/>
    <w:rsid w:val="00092525"/>
    <w:rsid w:val="0033073A"/>
    <w:rsid w:val="00582B53"/>
    <w:rsid w:val="00601307"/>
    <w:rsid w:val="00630283"/>
    <w:rsid w:val="006E2EEA"/>
    <w:rsid w:val="00C05BF2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BF2"/>
    <w:pPr>
      <w:tabs>
        <w:tab w:val="left" w:pos="567"/>
      </w:tabs>
      <w:spacing w:after="0" w:line="340" w:lineRule="atLeast"/>
      <w:jc w:val="both"/>
    </w:pPr>
    <w:rPr>
      <w:rFonts w:ascii="Palatino Linotype" w:eastAsia="SimSun" w:hAnsi="Palatino Linotype" w:cs="Mangal"/>
      <w:kern w:val="1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Titolo4">
    <w:name w:val="heading 4"/>
    <w:basedOn w:val="Normale"/>
    <w:next w:val="Normale"/>
    <w:link w:val="Titolo4Carattere"/>
    <w:qFormat/>
    <w:rsid w:val="00C05BF2"/>
    <w:pPr>
      <w:keepNext/>
      <w:tabs>
        <w:tab w:val="clear" w:pos="567"/>
      </w:tabs>
      <w:spacing w:before="240" w:after="60"/>
      <w:outlineLvl w:val="3"/>
    </w:pPr>
    <w:rPr>
      <w:b/>
    </w:rPr>
  </w:style>
  <w:style w:type="paragraph" w:styleId="Titolo5">
    <w:name w:val="heading 5"/>
    <w:basedOn w:val="Normale"/>
    <w:next w:val="Corpotesto"/>
    <w:link w:val="Titolo5Carattere"/>
    <w:qFormat/>
    <w:rsid w:val="00C05BF2"/>
    <w:pPr>
      <w:keepNext/>
      <w:numPr>
        <w:numId w:val="2"/>
      </w:numPr>
      <w:tabs>
        <w:tab w:val="clear" w:pos="567"/>
      </w:tabs>
      <w:spacing w:after="240" w:line="360" w:lineRule="auto"/>
      <w:outlineLvl w:val="4"/>
    </w:pPr>
    <w:rPr>
      <w:rFonts w:eastAsia="Microsoft YaHei" w:cs="Cambria"/>
      <w:b/>
      <w:bCs/>
      <w:smallCaps/>
      <w:kern w:val="28"/>
      <w:sz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05BF2"/>
    <w:pPr>
      <w:keepNext/>
      <w:keepLines/>
      <w:numPr>
        <w:ilvl w:val="1"/>
        <w:numId w:val="2"/>
      </w:numPr>
      <w:spacing w:before="480" w:after="360"/>
      <w:outlineLvl w:val="5"/>
    </w:pPr>
    <w:rPr>
      <w:rFonts w:eastAsiaTheme="majorEastAsia"/>
      <w:b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character" w:customStyle="1" w:styleId="Titolo4Carattere">
    <w:name w:val="Titolo 4 Carattere"/>
    <w:basedOn w:val="Carpredefinitoparagrafo"/>
    <w:link w:val="Titolo4"/>
    <w:rsid w:val="00C05BF2"/>
    <w:rPr>
      <w:rFonts w:ascii="Palatino Linotype" w:eastAsia="SimSun" w:hAnsi="Palatino Linotype" w:cs="Mangal"/>
      <w:b/>
      <w:kern w:val="1"/>
      <w:szCs w:val="24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C05BF2"/>
    <w:rPr>
      <w:rFonts w:ascii="Palatino Linotype" w:eastAsia="Microsoft YaHei" w:hAnsi="Palatino Linotype" w:cs="Cambria"/>
      <w:b/>
      <w:bCs/>
      <w:smallCaps/>
      <w:kern w:val="28"/>
      <w:sz w:val="28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05BF2"/>
    <w:rPr>
      <w:rFonts w:ascii="Palatino Linotype" w:eastAsiaTheme="majorEastAsia" w:hAnsi="Palatino Linotype" w:cs="Mangal"/>
      <w:b/>
      <w:iCs/>
      <w:kern w:val="1"/>
      <w:sz w:val="24"/>
      <w:szCs w:val="24"/>
      <w:lang w:eastAsia="hi-IN" w:bidi="hi-IN"/>
    </w:rPr>
  </w:style>
  <w:style w:type="table" w:styleId="Sfondochiaro-Colore1">
    <w:name w:val="Light Shading Accent 1"/>
    <w:basedOn w:val="Tabellanormale"/>
    <w:uiPriority w:val="60"/>
    <w:rsid w:val="00C05BF2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C05B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5BF2"/>
    <w:rPr>
      <w:rFonts w:ascii="Palatino Linotype" w:eastAsia="SimSun" w:hAnsi="Palatino Linotype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BF2"/>
    <w:pPr>
      <w:tabs>
        <w:tab w:val="left" w:pos="567"/>
      </w:tabs>
      <w:spacing w:after="0" w:line="340" w:lineRule="atLeast"/>
      <w:jc w:val="both"/>
    </w:pPr>
    <w:rPr>
      <w:rFonts w:ascii="Palatino Linotype" w:eastAsia="SimSun" w:hAnsi="Palatino Linotype" w:cs="Mangal"/>
      <w:kern w:val="1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Titolo4">
    <w:name w:val="heading 4"/>
    <w:basedOn w:val="Normale"/>
    <w:next w:val="Normale"/>
    <w:link w:val="Titolo4Carattere"/>
    <w:qFormat/>
    <w:rsid w:val="00C05BF2"/>
    <w:pPr>
      <w:keepNext/>
      <w:tabs>
        <w:tab w:val="clear" w:pos="567"/>
      </w:tabs>
      <w:spacing w:before="240" w:after="60"/>
      <w:outlineLvl w:val="3"/>
    </w:pPr>
    <w:rPr>
      <w:b/>
    </w:rPr>
  </w:style>
  <w:style w:type="paragraph" w:styleId="Titolo5">
    <w:name w:val="heading 5"/>
    <w:basedOn w:val="Normale"/>
    <w:next w:val="Corpotesto"/>
    <w:link w:val="Titolo5Carattere"/>
    <w:qFormat/>
    <w:rsid w:val="00C05BF2"/>
    <w:pPr>
      <w:keepNext/>
      <w:numPr>
        <w:numId w:val="2"/>
      </w:numPr>
      <w:tabs>
        <w:tab w:val="clear" w:pos="567"/>
      </w:tabs>
      <w:spacing w:after="240" w:line="360" w:lineRule="auto"/>
      <w:outlineLvl w:val="4"/>
    </w:pPr>
    <w:rPr>
      <w:rFonts w:eastAsia="Microsoft YaHei" w:cs="Cambria"/>
      <w:b/>
      <w:bCs/>
      <w:smallCaps/>
      <w:kern w:val="28"/>
      <w:sz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05BF2"/>
    <w:pPr>
      <w:keepNext/>
      <w:keepLines/>
      <w:numPr>
        <w:ilvl w:val="1"/>
        <w:numId w:val="2"/>
      </w:numPr>
      <w:spacing w:before="480" w:after="360"/>
      <w:outlineLvl w:val="5"/>
    </w:pPr>
    <w:rPr>
      <w:rFonts w:eastAsiaTheme="majorEastAsia"/>
      <w:b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character" w:customStyle="1" w:styleId="Titolo4Carattere">
    <w:name w:val="Titolo 4 Carattere"/>
    <w:basedOn w:val="Carpredefinitoparagrafo"/>
    <w:link w:val="Titolo4"/>
    <w:rsid w:val="00C05BF2"/>
    <w:rPr>
      <w:rFonts w:ascii="Palatino Linotype" w:eastAsia="SimSun" w:hAnsi="Palatino Linotype" w:cs="Mangal"/>
      <w:b/>
      <w:kern w:val="1"/>
      <w:szCs w:val="24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C05BF2"/>
    <w:rPr>
      <w:rFonts w:ascii="Palatino Linotype" w:eastAsia="Microsoft YaHei" w:hAnsi="Palatino Linotype" w:cs="Cambria"/>
      <w:b/>
      <w:bCs/>
      <w:smallCaps/>
      <w:kern w:val="28"/>
      <w:sz w:val="28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05BF2"/>
    <w:rPr>
      <w:rFonts w:ascii="Palatino Linotype" w:eastAsiaTheme="majorEastAsia" w:hAnsi="Palatino Linotype" w:cs="Mangal"/>
      <w:b/>
      <w:iCs/>
      <w:kern w:val="1"/>
      <w:sz w:val="24"/>
      <w:szCs w:val="24"/>
      <w:lang w:eastAsia="hi-IN" w:bidi="hi-IN"/>
    </w:rPr>
  </w:style>
  <w:style w:type="table" w:styleId="Sfondochiaro-Colore1">
    <w:name w:val="Light Shading Accent 1"/>
    <w:basedOn w:val="Tabellanormale"/>
    <w:uiPriority w:val="60"/>
    <w:rsid w:val="00C05BF2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C05B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5BF2"/>
    <w:rPr>
      <w:rFonts w:ascii="Palatino Linotype" w:eastAsia="SimSun" w:hAnsi="Palatino Linotype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01_038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 Ristori</cp:lastModifiedBy>
  <cp:revision>4</cp:revision>
  <dcterms:created xsi:type="dcterms:W3CDTF">2015-10-28T09:54:00Z</dcterms:created>
  <dcterms:modified xsi:type="dcterms:W3CDTF">2015-10-28T09:55:00Z</dcterms:modified>
</cp:coreProperties>
</file>