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FB" w:rsidRPr="00DF7F8D" w:rsidRDefault="00E120FB" w:rsidP="00E120FB">
      <w:pPr>
        <w:pStyle w:val="Titolo5"/>
      </w:pPr>
      <w:r w:rsidRPr="00DF7F8D">
        <w:t xml:space="preserve">Glossario di </w:t>
      </w:r>
      <w:bookmarkStart w:id="0" w:name="_GoBack"/>
      <w:bookmarkEnd w:id="0"/>
      <w:r w:rsidRPr="00DF7F8D">
        <w:t xml:space="preserve">riferimento </w:t>
      </w:r>
    </w:p>
    <w:p w:rsidR="00E120FB" w:rsidRDefault="00E120FB" w:rsidP="00E120FB">
      <w:pPr>
        <w:pStyle w:val="Titolo6"/>
      </w:pPr>
      <w:r>
        <w:t>Glossario tecnico di riferimento</w:t>
      </w:r>
    </w:p>
    <w:p w:rsidR="00E120FB" w:rsidRDefault="00E120FB" w:rsidP="00E120FB">
      <w:r>
        <w:t>Il glossario di riferimento per gli interventi urbanistici ed edilizi è il seguente: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complesso edilizio;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edificio o fabbricato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unità immobiliare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organismo edilizio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involucro edilizio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sagoma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lotto urbanistico di riferimento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area di sedime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dotazioni di parcheggio per la sosta stanziale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dotazioni di parcheggio per la sosta di relazione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dotazioni di parcheggio pubblico</w:t>
      </w:r>
    </w:p>
    <w:p w:rsidR="00E120FB" w:rsidRDefault="00E120FB" w:rsidP="00E120FB">
      <w:pPr>
        <w:pStyle w:val="Paragrafoelenco"/>
        <w:numPr>
          <w:ilvl w:val="0"/>
          <w:numId w:val="3"/>
        </w:numPr>
        <w:contextualSpacing w:val="0"/>
      </w:pPr>
      <w:r>
        <w:t>incremento del carico urbanistico</w:t>
      </w:r>
    </w:p>
    <w:p w:rsidR="00E120FB" w:rsidRDefault="00E120FB" w:rsidP="00E120FB">
      <w:r>
        <w:t xml:space="preserve">Le definizioni sono dettagliate nell' Allegato A, parte I, </w:t>
      </w:r>
      <w:hyperlink r:id="rId8" w:history="1">
        <w:r w:rsidRPr="00BE2845">
          <w:rPr>
            <w:rStyle w:val="Collegamentoipertestuale"/>
          </w:rPr>
          <w:t>Regolamento 11 novembre 2013, n. 64/R</w:t>
        </w:r>
      </w:hyperlink>
      <w:r>
        <w:t>.</w:t>
      </w:r>
    </w:p>
    <w:p w:rsidR="00E120FB" w:rsidRDefault="00E120FB" w:rsidP="00E120FB">
      <w:pPr>
        <w:pStyle w:val="Titolo6"/>
      </w:pPr>
      <w:r>
        <w:t xml:space="preserve">Glossario degli elementi costitutivi o di corredo delle costruzioni </w:t>
      </w:r>
    </w:p>
    <w:p w:rsidR="00E120FB" w:rsidRDefault="00E120FB" w:rsidP="00E120FB">
      <w:r>
        <w:t>Il glossario di riferimento per gli elementi costitutivi o di corredo delle costruzioni è il s</w:t>
      </w:r>
      <w:r>
        <w:t>e</w:t>
      </w:r>
      <w:r>
        <w:t>guente: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abbaino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balcone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ballatoio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bow-window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cantine o scantinati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copertura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intercapedini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intradosso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loggia (o portico)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parti condominiali o di uso comune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lastRenderedPageBreak/>
        <w:t>pensilina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piano o locale fuori terra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 xml:space="preserve"> piano o locale interrato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piano o locale seminterrato o parzialmente interrato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piano sottotetto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porticato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serra solare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soppalco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terrazza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tettoia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veranda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volumi tecnici</w:t>
      </w:r>
    </w:p>
    <w:p w:rsidR="00E120FB" w:rsidRDefault="00E120FB" w:rsidP="00E120FB">
      <w:pPr>
        <w:pStyle w:val="Paragrafoelenco"/>
        <w:numPr>
          <w:ilvl w:val="0"/>
          <w:numId w:val="4"/>
        </w:numPr>
        <w:contextualSpacing w:val="0"/>
      </w:pPr>
      <w:r>
        <w:t>pergolati, gazebo e manufatti in legno</w:t>
      </w:r>
    </w:p>
    <w:p w:rsidR="00E120FB" w:rsidRDefault="00E120FB" w:rsidP="00E120FB"/>
    <w:p w:rsidR="00E120FB" w:rsidRDefault="00E120FB" w:rsidP="00E120FB">
      <w:r>
        <w:t xml:space="preserve">Le definizioni sono dettagliate nell' Allegato A, parte II, del </w:t>
      </w:r>
      <w:hyperlink r:id="rId9" w:history="1">
        <w:r w:rsidRPr="00BE2845">
          <w:rPr>
            <w:rStyle w:val="Collegamentoipertestuale"/>
          </w:rPr>
          <w:t>Regolamento 11 novembre 2013, n. 64/R</w:t>
        </w:r>
      </w:hyperlink>
      <w:r>
        <w:t>.</w:t>
      </w:r>
    </w:p>
    <w:p w:rsidR="00E120FB" w:rsidRDefault="00E120FB" w:rsidP="00E120FB">
      <w:pPr>
        <w:pStyle w:val="Titolo6"/>
      </w:pPr>
      <w:r>
        <w:t>Glossario dei parametri edilizi ed urbanistici</w:t>
      </w:r>
    </w:p>
    <w:p w:rsidR="00E120FB" w:rsidRDefault="00E120FB" w:rsidP="00E120FB">
      <w:r>
        <w:t xml:space="preserve">Sono parametri urbanistici ed edilizi: 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Ir</w:t>
      </w:r>
      <w:proofErr w:type="spellEnd"/>
      <w:r>
        <w:t xml:space="preserve"> - indice insediativo residenziale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r>
        <w:t>St - superficie territoriale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Sf</w:t>
      </w:r>
      <w:proofErr w:type="spellEnd"/>
      <w:r>
        <w:t xml:space="preserve"> - superficie fondiaria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Sap</w:t>
      </w:r>
      <w:proofErr w:type="spellEnd"/>
      <w:r>
        <w:t xml:space="preserve"> - superficie per attrezzature e spazi pubblici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It</w:t>
      </w:r>
      <w:proofErr w:type="spellEnd"/>
      <w:r>
        <w:t xml:space="preserve"> - indice di fabbricabilità territoriale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r>
        <w:t>Ut - indice di utilizzazione territoriale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If</w:t>
      </w:r>
      <w:proofErr w:type="spellEnd"/>
      <w:r>
        <w:t xml:space="preserve"> - indice di fabbricabilità fondiaria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Uf</w:t>
      </w:r>
      <w:proofErr w:type="spellEnd"/>
      <w:r>
        <w:t xml:space="preserve"> - indice di utilizzazione fondiaria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r>
        <w:t>Sul - superficie utile lorda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r>
        <w:t>Su - superficie utile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r>
        <w:t>Sua - superficie utile abitabile o agibile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Snr</w:t>
      </w:r>
      <w:proofErr w:type="spellEnd"/>
      <w:r>
        <w:t xml:space="preserve"> - superficie non residenziale o accessoria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Scc</w:t>
      </w:r>
      <w:proofErr w:type="spellEnd"/>
      <w:r>
        <w:t xml:space="preserve"> - superficie convenzionale complessiva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r>
        <w:t>Sc - superficie coperta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Rc</w:t>
      </w:r>
      <w:proofErr w:type="spellEnd"/>
      <w:r>
        <w:t xml:space="preserve"> - rapporto di copertura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lastRenderedPageBreak/>
        <w:t>Ros</w:t>
      </w:r>
      <w:proofErr w:type="spellEnd"/>
      <w:r>
        <w:t xml:space="preserve"> - rapporto di occupazione del sottosuolo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Hmax</w:t>
      </w:r>
      <w:proofErr w:type="spellEnd"/>
      <w:r>
        <w:t xml:space="preserve"> - altezza massima 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Hin</w:t>
      </w:r>
      <w:proofErr w:type="spellEnd"/>
      <w:r>
        <w:t xml:space="preserve"> -  altezza interna netta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Hv</w:t>
      </w:r>
      <w:proofErr w:type="spellEnd"/>
      <w:r>
        <w:t xml:space="preserve"> - altezza virtuale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r>
        <w:t>Np - numero dei piani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Vl</w:t>
      </w:r>
      <w:proofErr w:type="spellEnd"/>
      <w:r>
        <w:t xml:space="preserve"> - volume lordo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r>
        <w:t>V - volume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Vve</w:t>
      </w:r>
      <w:proofErr w:type="spellEnd"/>
      <w:r>
        <w:t xml:space="preserve"> / </w:t>
      </w:r>
      <w:proofErr w:type="spellStart"/>
      <w:r>
        <w:t>Vvui</w:t>
      </w:r>
      <w:proofErr w:type="spellEnd"/>
      <w:r>
        <w:t xml:space="preserve"> - volume virtuale dell’edificio e volume virtuale dell’unità immobiliare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Sv</w:t>
      </w:r>
      <w:proofErr w:type="spellEnd"/>
      <w:r>
        <w:t xml:space="preserve"> - </w:t>
      </w:r>
      <w:r w:rsidRPr="00E74D34">
        <w:t>Superficie di vendita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Ss</w:t>
      </w:r>
      <w:proofErr w:type="spellEnd"/>
      <w:r>
        <w:t xml:space="preserve"> - Superficie di somministrazione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Spp</w:t>
      </w:r>
      <w:proofErr w:type="spellEnd"/>
      <w:r>
        <w:t xml:space="preserve"> - superficie permeabile di pertinenza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Rp</w:t>
      </w:r>
      <w:proofErr w:type="spellEnd"/>
      <w:r>
        <w:t xml:space="preserve"> - rapporto di permeabilità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r>
        <w:t>Da - densità arborea</w:t>
      </w:r>
    </w:p>
    <w:p w:rsidR="00E120FB" w:rsidRDefault="00E120FB" w:rsidP="00E120FB">
      <w:pPr>
        <w:pStyle w:val="Paragrafoelenco"/>
        <w:numPr>
          <w:ilvl w:val="0"/>
          <w:numId w:val="5"/>
        </w:numPr>
        <w:contextualSpacing w:val="0"/>
      </w:pPr>
      <w:proofErr w:type="spellStart"/>
      <w:r>
        <w:t>Sau</w:t>
      </w:r>
      <w:proofErr w:type="spellEnd"/>
      <w:r>
        <w:t xml:space="preserve"> - superficie agraria utilizzabile</w:t>
      </w:r>
    </w:p>
    <w:p w:rsidR="00E120FB" w:rsidRDefault="00E120FB" w:rsidP="00E120FB">
      <w:r>
        <w:t xml:space="preserve">Le definizioni sono dettagliate nel capo II del </w:t>
      </w:r>
      <w:hyperlink r:id="rId10" w:history="1">
        <w:r w:rsidRPr="00BE2845">
          <w:rPr>
            <w:rStyle w:val="Collegamentoipertestuale"/>
          </w:rPr>
          <w:t>Regolamento 11 novembre 2013, n. 64/R</w:t>
        </w:r>
      </w:hyperlink>
      <w:r>
        <w:t>.</w:t>
      </w:r>
    </w:p>
    <w:p w:rsidR="006E2EEA" w:rsidRDefault="006E2EEA"/>
    <w:sectPr w:rsidR="006E2EEA" w:rsidSect="001B1E7A">
      <w:headerReference w:type="default" r:id="rId11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7A" w:rsidRDefault="001B1E7A" w:rsidP="001B1E7A">
      <w:pPr>
        <w:spacing w:line="240" w:lineRule="auto"/>
      </w:pPr>
      <w:r>
        <w:separator/>
      </w:r>
    </w:p>
  </w:endnote>
  <w:endnote w:type="continuationSeparator" w:id="0">
    <w:p w:rsidR="001B1E7A" w:rsidRDefault="001B1E7A" w:rsidP="001B1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 Modern St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7A" w:rsidRDefault="001B1E7A" w:rsidP="001B1E7A">
      <w:pPr>
        <w:spacing w:line="240" w:lineRule="auto"/>
      </w:pPr>
      <w:r>
        <w:separator/>
      </w:r>
    </w:p>
  </w:footnote>
  <w:footnote w:type="continuationSeparator" w:id="0">
    <w:p w:rsidR="001B1E7A" w:rsidRDefault="001B1E7A" w:rsidP="001B1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7A" w:rsidRDefault="001B1E7A" w:rsidP="001B1E7A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>
          <wp:extent cx="4544183" cy="449869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9988" cy="45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E7A" w:rsidRPr="001B1E7A" w:rsidRDefault="001B1E7A" w:rsidP="001B1E7A">
    <w:pPr>
      <w:pStyle w:val="Intestazione"/>
      <w:jc w:val="center"/>
      <w:rPr>
        <w:rFonts w:ascii="Bernhard Modern Std Roman" w:hAnsi="Bernhard Modern Std Roman"/>
        <w:color w:val="595959" w:themeColor="text1" w:themeTint="A6"/>
        <w:spacing w:val="50"/>
        <w:kern w:val="22"/>
      </w:rPr>
    </w:pPr>
    <w:r w:rsidRPr="001B1E7A">
      <w:rPr>
        <w:rFonts w:ascii="Bernhard Modern Std Roman" w:hAnsi="Bernhard Modern Std Roman"/>
        <w:color w:val="595959" w:themeColor="text1" w:themeTint="A6"/>
        <w:spacing w:val="50"/>
        <w:kern w:val="22"/>
      </w:rPr>
      <w:t>REGOLAMENTO EDILIZIO UNICO DEL CASENTINO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C0E"/>
    <w:multiLevelType w:val="hybridMultilevel"/>
    <w:tmpl w:val="CD34BAC6"/>
    <w:lvl w:ilvl="0" w:tplc="6CD24866">
      <w:start w:val="8"/>
      <w:numFmt w:val="bullet"/>
      <w:lvlText w:val="•"/>
      <w:lvlJc w:val="left"/>
      <w:pPr>
        <w:ind w:left="360" w:hanging="360"/>
      </w:pPr>
      <w:rPr>
        <w:rFonts w:ascii="Palatino Linotype" w:eastAsia="SimSun" w:hAnsi="Palatino Linotype" w:cs="Mang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3A3607"/>
    <w:multiLevelType w:val="hybridMultilevel"/>
    <w:tmpl w:val="C31C7A84"/>
    <w:lvl w:ilvl="0" w:tplc="6CD24866">
      <w:start w:val="8"/>
      <w:numFmt w:val="bullet"/>
      <w:lvlText w:val="•"/>
      <w:lvlJc w:val="left"/>
      <w:pPr>
        <w:ind w:left="360" w:hanging="360"/>
      </w:pPr>
      <w:rPr>
        <w:rFonts w:ascii="Palatino Linotype" w:eastAsia="SimSun" w:hAnsi="Palatino Linotype" w:cs="Mang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646D7E"/>
    <w:multiLevelType w:val="hybridMultilevel"/>
    <w:tmpl w:val="7BF4C7D2"/>
    <w:lvl w:ilvl="0" w:tplc="F77CD538">
      <w:start w:val="1"/>
      <w:numFmt w:val="upperRoman"/>
      <w:pStyle w:val="Titolo2"/>
      <w:lvlText w:val="CAPO %1"/>
      <w:lvlJc w:val="left"/>
      <w:pPr>
        <w:ind w:left="360" w:hanging="360"/>
      </w:pPr>
      <w:rPr>
        <w:rFonts w:ascii="Palatino Linotype" w:hAnsi="Palatino Linotype" w:hint="default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3E91E2">
      <w:start w:val="1"/>
      <w:numFmt w:val="lowerLetter"/>
      <w:lvlText w:val="%2)"/>
      <w:lvlJc w:val="left"/>
      <w:pPr>
        <w:ind w:left="1007" w:hanging="570"/>
      </w:pPr>
      <w:rPr>
        <w:rFonts w:hint="default"/>
      </w:rPr>
    </w:lvl>
    <w:lvl w:ilvl="2" w:tplc="74D0F168">
      <w:start w:val="1"/>
      <w:numFmt w:val="lowerLetter"/>
      <w:lvlText w:val="%3."/>
      <w:lvlJc w:val="left"/>
      <w:pPr>
        <w:ind w:left="169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4EDE7387"/>
    <w:multiLevelType w:val="multilevel"/>
    <w:tmpl w:val="A4E2E51E"/>
    <w:lvl w:ilvl="0">
      <w:start w:val="1"/>
      <w:numFmt w:val="decimal"/>
      <w:pStyle w:val="Titolo5"/>
      <w:lvlText w:val="ALLEGATO %1"/>
      <w:lvlJc w:val="left"/>
      <w:pPr>
        <w:ind w:left="360" w:hanging="360"/>
      </w:pPr>
      <w:rPr>
        <w:rFonts w:ascii="Palatino Linotype" w:hAnsi="Palatino Linotype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pStyle w:val="Titolo6"/>
      <w:lvlText w:val="Allegato 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58DF2C3F"/>
    <w:multiLevelType w:val="hybridMultilevel"/>
    <w:tmpl w:val="564AC18A"/>
    <w:lvl w:ilvl="0" w:tplc="6CD24866">
      <w:start w:val="8"/>
      <w:numFmt w:val="bullet"/>
      <w:lvlText w:val="•"/>
      <w:lvlJc w:val="left"/>
      <w:pPr>
        <w:ind w:left="360" w:hanging="360"/>
      </w:pPr>
      <w:rPr>
        <w:rFonts w:ascii="Palatino Linotype" w:eastAsia="SimSun" w:hAnsi="Palatino Linotype" w:cs="Mang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FB"/>
    <w:rsid w:val="00092525"/>
    <w:rsid w:val="001B1E7A"/>
    <w:rsid w:val="0033073A"/>
    <w:rsid w:val="00582B53"/>
    <w:rsid w:val="006E2EEA"/>
    <w:rsid w:val="00E120FB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0FB"/>
    <w:pPr>
      <w:tabs>
        <w:tab w:val="left" w:pos="567"/>
      </w:tabs>
      <w:spacing w:after="0" w:line="340" w:lineRule="atLeast"/>
      <w:jc w:val="both"/>
    </w:pPr>
    <w:rPr>
      <w:rFonts w:ascii="Palatino Linotype" w:eastAsia="SimSun" w:hAnsi="Palatino Linotype" w:cs="Mangal"/>
      <w:kern w:val="1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Titolo5">
    <w:name w:val="heading 5"/>
    <w:basedOn w:val="Normale"/>
    <w:next w:val="Corpotesto"/>
    <w:link w:val="Titolo5Carattere"/>
    <w:qFormat/>
    <w:rsid w:val="00E120FB"/>
    <w:pPr>
      <w:keepNext/>
      <w:numPr>
        <w:numId w:val="2"/>
      </w:numPr>
      <w:tabs>
        <w:tab w:val="clear" w:pos="567"/>
      </w:tabs>
      <w:spacing w:after="240" w:line="360" w:lineRule="auto"/>
      <w:outlineLvl w:val="4"/>
    </w:pPr>
    <w:rPr>
      <w:rFonts w:eastAsia="Microsoft YaHei" w:cs="Cambria"/>
      <w:b/>
      <w:bCs/>
      <w:smallCaps/>
      <w:kern w:val="28"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120FB"/>
    <w:pPr>
      <w:keepNext/>
      <w:keepLines/>
      <w:numPr>
        <w:ilvl w:val="1"/>
        <w:numId w:val="2"/>
      </w:numPr>
      <w:spacing w:before="480" w:after="360"/>
      <w:ind w:left="0" w:firstLine="0"/>
      <w:outlineLvl w:val="5"/>
    </w:pPr>
    <w:rPr>
      <w:rFonts w:eastAsiaTheme="majorEastAsia"/>
      <w:b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character" w:customStyle="1" w:styleId="Titolo5Carattere">
    <w:name w:val="Titolo 5 Carattere"/>
    <w:basedOn w:val="Carpredefinitoparagrafo"/>
    <w:link w:val="Titolo5"/>
    <w:rsid w:val="00E120FB"/>
    <w:rPr>
      <w:rFonts w:ascii="Palatino Linotype" w:eastAsia="Microsoft YaHei" w:hAnsi="Palatino Linotype" w:cs="Cambria"/>
      <w:b/>
      <w:bCs/>
      <w:smallCaps/>
      <w:kern w:val="28"/>
      <w:sz w:val="28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120FB"/>
    <w:rPr>
      <w:rFonts w:ascii="Palatino Linotype" w:eastAsiaTheme="majorEastAsia" w:hAnsi="Palatino Linotype" w:cs="Mangal"/>
      <w:b/>
      <w:iCs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20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20FB"/>
    <w:rPr>
      <w:rFonts w:ascii="Palatino Linotype" w:eastAsia="SimSun" w:hAnsi="Palatino Linotype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0FB"/>
    <w:pPr>
      <w:tabs>
        <w:tab w:val="left" w:pos="567"/>
      </w:tabs>
      <w:spacing w:after="0" w:line="340" w:lineRule="atLeast"/>
      <w:jc w:val="both"/>
    </w:pPr>
    <w:rPr>
      <w:rFonts w:ascii="Palatino Linotype" w:eastAsia="SimSun" w:hAnsi="Palatino Linotype" w:cs="Mangal"/>
      <w:kern w:val="1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Titolo5">
    <w:name w:val="heading 5"/>
    <w:basedOn w:val="Normale"/>
    <w:next w:val="Corpotesto"/>
    <w:link w:val="Titolo5Carattere"/>
    <w:qFormat/>
    <w:rsid w:val="00E120FB"/>
    <w:pPr>
      <w:keepNext/>
      <w:numPr>
        <w:numId w:val="2"/>
      </w:numPr>
      <w:tabs>
        <w:tab w:val="clear" w:pos="567"/>
      </w:tabs>
      <w:spacing w:after="240" w:line="360" w:lineRule="auto"/>
      <w:outlineLvl w:val="4"/>
    </w:pPr>
    <w:rPr>
      <w:rFonts w:eastAsia="Microsoft YaHei" w:cs="Cambria"/>
      <w:b/>
      <w:bCs/>
      <w:smallCaps/>
      <w:kern w:val="28"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120FB"/>
    <w:pPr>
      <w:keepNext/>
      <w:keepLines/>
      <w:numPr>
        <w:ilvl w:val="1"/>
        <w:numId w:val="2"/>
      </w:numPr>
      <w:spacing w:before="480" w:after="360"/>
      <w:ind w:left="0" w:firstLine="0"/>
      <w:outlineLvl w:val="5"/>
    </w:pPr>
    <w:rPr>
      <w:rFonts w:eastAsiaTheme="majorEastAsia"/>
      <w:b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character" w:customStyle="1" w:styleId="Titolo5Carattere">
    <w:name w:val="Titolo 5 Carattere"/>
    <w:basedOn w:val="Carpredefinitoparagrafo"/>
    <w:link w:val="Titolo5"/>
    <w:rsid w:val="00E120FB"/>
    <w:rPr>
      <w:rFonts w:ascii="Palatino Linotype" w:eastAsia="Microsoft YaHei" w:hAnsi="Palatino Linotype" w:cs="Cambria"/>
      <w:b/>
      <w:bCs/>
      <w:smallCaps/>
      <w:kern w:val="28"/>
      <w:sz w:val="28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120FB"/>
    <w:rPr>
      <w:rFonts w:ascii="Palatino Linotype" w:eastAsiaTheme="majorEastAsia" w:hAnsi="Palatino Linotype" w:cs="Mangal"/>
      <w:b/>
      <w:iCs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20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20FB"/>
    <w:rPr>
      <w:rFonts w:ascii="Palatino Linotype" w:eastAsia="SimSun" w:hAnsi="Palatino Linotype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ccoltanormativa.consiglio.regione.toscana.it/articolo?urndoc=urn:nir:regione.toscana:regolamento.giunta:2013-11-11;64/R&amp;pr=idx,0;artic,1;articparziale,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accoltanormativa.consiglio.regione.toscana.it/articolo?urndoc=urn:nir:regione.toscana:regolamento.giunta:2013-11-11;64/R&amp;pr=idx,0;artic,1;articparziale,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ccoltanormativa.consiglio.regione.toscana.it/articolo?urndoc=urn:nir:regione.toscana:regolamento.giunta:2013-11-11;64/R&amp;pr=idx,0;artic,1;articparziale,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 Ristori</cp:lastModifiedBy>
  <cp:revision>2</cp:revision>
  <dcterms:created xsi:type="dcterms:W3CDTF">2015-10-28T09:45:00Z</dcterms:created>
  <dcterms:modified xsi:type="dcterms:W3CDTF">2015-10-28T10:00:00Z</dcterms:modified>
</cp:coreProperties>
</file>